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F9" w:rsidRDefault="003250F9" w:rsidP="003250F9">
      <w:pPr>
        <w:spacing w:line="520" w:lineRule="exact"/>
        <w:rPr>
          <w:szCs w:val="21"/>
        </w:rPr>
      </w:pPr>
      <w:r>
        <w:rPr>
          <w:rFonts w:hint="eastAsia"/>
          <w:szCs w:val="21"/>
        </w:rPr>
        <w:t>附件1报价一览表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64"/>
        <w:gridCol w:w="6036"/>
      </w:tblGrid>
      <w:tr w:rsidR="003250F9" w:rsidTr="005652CB">
        <w:tc>
          <w:tcPr>
            <w:tcW w:w="1980" w:type="dxa"/>
          </w:tcPr>
          <w:p w:rsidR="003250F9" w:rsidRDefault="003250F9" w:rsidP="005652C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316" w:type="dxa"/>
          </w:tcPr>
          <w:p w:rsidR="003250F9" w:rsidRDefault="003250F9" w:rsidP="005652C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常州大学西太湖校区博雅居</w:t>
            </w:r>
            <w:r>
              <w:rPr>
                <w:szCs w:val="21"/>
              </w:rPr>
              <w:t>6-7号楼公共浴室吊顶维修</w:t>
            </w:r>
            <w:r>
              <w:rPr>
                <w:rFonts w:hint="eastAsia"/>
                <w:szCs w:val="21"/>
              </w:rPr>
              <w:t>项目</w:t>
            </w:r>
          </w:p>
        </w:tc>
      </w:tr>
      <w:tr w:rsidR="003250F9" w:rsidTr="003250F9">
        <w:trPr>
          <w:trHeight w:val="7452"/>
        </w:trPr>
        <w:tc>
          <w:tcPr>
            <w:tcW w:w="8296" w:type="dxa"/>
            <w:gridSpan w:val="2"/>
          </w:tcPr>
          <w:tbl>
            <w:tblPr>
              <w:tblW w:w="8541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9"/>
              <w:gridCol w:w="3381"/>
              <w:gridCol w:w="739"/>
              <w:gridCol w:w="957"/>
              <w:gridCol w:w="1119"/>
              <w:gridCol w:w="1166"/>
            </w:tblGrid>
            <w:tr w:rsidR="003250F9" w:rsidTr="005652CB">
              <w:trPr>
                <w:trHeight w:val="486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项目特征描述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工程量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单价（元）</w:t>
                  </w: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b/>
                      <w:bCs/>
                      <w:color w:val="333333"/>
                      <w:kern w:val="0"/>
                      <w:szCs w:val="21"/>
                    </w:rPr>
                    <w:t>总价（元）</w:t>
                  </w:r>
                </w:p>
              </w:tc>
            </w:tr>
            <w:tr w:rsidR="003250F9" w:rsidTr="005652CB">
              <w:trPr>
                <w:trHeight w:val="1010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原有天棚面龙骨及饰面拆除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拆除原有</w:t>
                  </w:r>
                  <w:r>
                    <w:rPr>
                      <w:color w:val="000000"/>
                      <w:kern w:val="0"/>
                      <w:szCs w:val="21"/>
                    </w:rPr>
                    <w:t>600mm*600mm</w:t>
                  </w: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铝板吊顶及龙骨吊筋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m</w:t>
                  </w:r>
                  <w:r>
                    <w:rPr>
                      <w:color w:val="000000"/>
                      <w:kern w:val="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388.22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3250F9" w:rsidTr="005652CB">
              <w:trPr>
                <w:trHeight w:val="468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吊顶天棚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全丝杆天棚吊筋φ8，50国标不锈钢主龙、三角卡箍不锈钢龙骨(98mm开料、0.4mm壁厚)，吊杆间距不大于</w:t>
                  </w:r>
                  <w:r>
                    <w:rPr>
                      <w:rFonts w:cs="宋体"/>
                      <w:color w:val="000000"/>
                      <w:kern w:val="0"/>
                      <w:szCs w:val="21"/>
                    </w:rPr>
                    <w:t>1000mm、主龙骨间距不大于1000mm。</w:t>
                  </w:r>
                </w:p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/>
                      <w:color w:val="000000"/>
                      <w:kern w:val="0"/>
                      <w:szCs w:val="21"/>
                    </w:rPr>
                    <w:t>600*600*0.8mm穿孔铝板，孔距6mm、间距15mm,背贴防震防潮无纺布。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m</w:t>
                  </w:r>
                  <w:r>
                    <w:rPr>
                      <w:color w:val="000000"/>
                      <w:kern w:val="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388.22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3250F9" w:rsidTr="005652CB">
              <w:trPr>
                <w:trHeight w:val="240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装饰灯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φ480mm超薄明装吸顶灯（48W、三色、防水）；LED ；含照明管线移位安装；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盏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3250F9" w:rsidTr="005652CB">
              <w:trPr>
                <w:trHeight w:val="240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里脚手架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拆除及</w:t>
                  </w:r>
                  <w:r>
                    <w:rPr>
                      <w:rFonts w:cs="宋体"/>
                      <w:color w:val="000000"/>
                      <w:kern w:val="0"/>
                      <w:szCs w:val="21"/>
                    </w:rPr>
                    <w:t>安装</w:t>
                  </w: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吊顶用脚手架，满足安全文明施工及建设单位要求；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</w:rPr>
                    <w:t>m</w:t>
                  </w:r>
                  <w:r>
                    <w:rPr>
                      <w:color w:val="000000"/>
                      <w:kern w:val="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388.22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3250F9" w:rsidTr="005652CB">
              <w:trPr>
                <w:trHeight w:val="240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垃圾清运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所有建筑垃圾外运；</w:t>
                  </w:r>
                </w:p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一次性包干，不因工作量的增加或减少而调整,由此引起的风险及利润亦有中标单位承担;</w:t>
                  </w:r>
                </w:p>
              </w:tc>
              <w:tc>
                <w:tcPr>
                  <w:tcW w:w="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项</w:t>
                  </w:r>
                </w:p>
              </w:tc>
              <w:tc>
                <w:tcPr>
                  <w:tcW w:w="9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3250F9" w:rsidTr="004A2015">
              <w:trPr>
                <w:trHeight w:val="240"/>
                <w:jc w:val="center"/>
              </w:trPr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center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cs="宋体" w:hint="eastAsia"/>
                      <w:color w:val="000000"/>
                      <w:kern w:val="0"/>
                      <w:szCs w:val="21"/>
                    </w:rPr>
                    <w:t>合计（元）</w:t>
                  </w:r>
                </w:p>
              </w:tc>
              <w:tc>
                <w:tcPr>
                  <w:tcW w:w="3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 w:hint="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98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vAlign w:val="center"/>
                </w:tcPr>
                <w:p w:rsidR="003250F9" w:rsidRDefault="003250F9" w:rsidP="003250F9">
                  <w:pPr>
                    <w:widowControl/>
                    <w:jc w:val="left"/>
                    <w:rPr>
                      <w:rFonts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</w:tbl>
          <w:p w:rsidR="003250F9" w:rsidRDefault="003250F9" w:rsidP="005652CB">
            <w:pPr>
              <w:spacing w:line="520" w:lineRule="exact"/>
              <w:jc w:val="center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  <w:tr w:rsidR="003250F9" w:rsidTr="005652CB">
        <w:tc>
          <w:tcPr>
            <w:tcW w:w="1980" w:type="dxa"/>
          </w:tcPr>
          <w:p w:rsidR="003250F9" w:rsidRDefault="003250F9" w:rsidP="005652CB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投标报价（元）</w:t>
            </w:r>
          </w:p>
          <w:p w:rsidR="003250F9" w:rsidRDefault="003250F9" w:rsidP="005652C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（含税价）</w:t>
            </w:r>
          </w:p>
        </w:tc>
        <w:tc>
          <w:tcPr>
            <w:tcW w:w="6316" w:type="dxa"/>
          </w:tcPr>
          <w:p w:rsidR="003250F9" w:rsidRDefault="003250F9" w:rsidP="005652CB">
            <w:pPr>
              <w:widowControl/>
              <w:spacing w:line="52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小写：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  <w:p w:rsidR="003250F9" w:rsidRDefault="003250F9" w:rsidP="005652CB">
            <w:pPr>
              <w:spacing w:line="520" w:lineRule="exact"/>
              <w:ind w:firstLineChars="200" w:firstLine="42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大写：</w:t>
            </w:r>
            <w:r>
              <w:rPr>
                <w:rFonts w:ascii="Times New Roman" w:eastAsia="宋体" w:hAnsi="Times New Roman"/>
                <w:kern w:val="0"/>
                <w:szCs w:val="21"/>
              </w:rPr>
              <w:t>___________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元</w:t>
            </w:r>
          </w:p>
        </w:tc>
      </w:tr>
    </w:tbl>
    <w:p w:rsidR="003250F9" w:rsidRDefault="003250F9" w:rsidP="003250F9">
      <w:pPr>
        <w:spacing w:line="5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投标单位（盖章）：</w:t>
      </w:r>
    </w:p>
    <w:p w:rsidR="003250F9" w:rsidRDefault="003250F9" w:rsidP="003250F9">
      <w:pPr>
        <w:spacing w:line="5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 w:rsidR="003250F9" w:rsidRDefault="003250F9" w:rsidP="003250F9">
      <w:pPr>
        <w:spacing w:line="5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日期：    年    月    日</w:t>
      </w:r>
    </w:p>
    <w:p w:rsidR="00FA0379" w:rsidRPr="003250F9" w:rsidRDefault="0089656F" w:rsidP="003250F9"/>
    <w:sectPr w:rsidR="00FA0379" w:rsidRPr="003250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6F" w:rsidRDefault="0089656F" w:rsidP="003250F9">
      <w:r>
        <w:separator/>
      </w:r>
    </w:p>
  </w:endnote>
  <w:endnote w:type="continuationSeparator" w:id="0">
    <w:p w:rsidR="0089656F" w:rsidRDefault="0089656F" w:rsidP="0032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6F" w:rsidRDefault="0089656F" w:rsidP="003250F9">
      <w:r>
        <w:separator/>
      </w:r>
    </w:p>
  </w:footnote>
  <w:footnote w:type="continuationSeparator" w:id="0">
    <w:p w:rsidR="0089656F" w:rsidRDefault="0089656F" w:rsidP="0032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A"/>
    <w:rsid w:val="001B7D8C"/>
    <w:rsid w:val="003250F9"/>
    <w:rsid w:val="008144B9"/>
    <w:rsid w:val="0089656F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7498"/>
  <w15:chartTrackingRefBased/>
  <w15:docId w15:val="{4844AA07-E986-46A1-8BB6-2C996D32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0F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0F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2023-05-31T02:52:00Z</dcterms:created>
  <dcterms:modified xsi:type="dcterms:W3CDTF">2023-05-31T07:23:00Z</dcterms:modified>
</cp:coreProperties>
</file>